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679" w:rsidRPr="003D2679" w:rsidRDefault="003D2679" w:rsidP="003D2679">
      <w:pPr>
        <w:pStyle w:val="Normal1"/>
        <w:rPr>
          <w:b/>
          <w:sz w:val="28"/>
          <w:szCs w:val="28"/>
          <w:lang w:val="en-US"/>
        </w:rPr>
      </w:pPr>
      <w:r w:rsidRPr="003D2679">
        <w:rPr>
          <w:b/>
          <w:sz w:val="28"/>
          <w:szCs w:val="28"/>
          <w:lang w:val="en-US"/>
        </w:rPr>
        <w:t>Ratio numbers</w:t>
      </w:r>
    </w:p>
    <w:p w:rsidR="003D2679" w:rsidRDefault="003D2679" w:rsidP="003D2679">
      <w:pPr>
        <w:pStyle w:val="Normal1"/>
        <w:rPr>
          <w:sz w:val="24"/>
          <w:szCs w:val="24"/>
          <w:lang w:val="en-US"/>
        </w:rPr>
      </w:pPr>
    </w:p>
    <w:p w:rsidR="003D2679" w:rsidRDefault="003D2679" w:rsidP="003D2679">
      <w:pPr>
        <w:pStyle w:val="Normal1"/>
        <w:rPr>
          <w:sz w:val="24"/>
          <w:szCs w:val="24"/>
          <w:lang w:val="en-US"/>
        </w:rPr>
      </w:pPr>
      <w:r w:rsidRPr="003D2679">
        <w:rPr>
          <w:sz w:val="24"/>
          <w:szCs w:val="24"/>
          <w:lang w:val="en-US"/>
        </w:rPr>
        <w:t xml:space="preserve">Ratio numbers can be distinguished into the following four number categories </w:t>
      </w:r>
      <w:r w:rsidRPr="003D2679">
        <w:rPr>
          <w:sz w:val="24"/>
          <w:szCs w:val="24"/>
        </w:rPr>
        <w:t>[Schröder 1985]</w:t>
      </w:r>
      <w:r>
        <w:rPr>
          <w:sz w:val="24"/>
          <w:szCs w:val="24"/>
        </w:rPr>
        <w:t>:</w:t>
      </w:r>
      <w:bookmarkStart w:id="0" w:name="_GoBack"/>
      <w:bookmarkEnd w:id="0"/>
    </w:p>
    <w:p w:rsidR="003D2679" w:rsidRPr="003D2679" w:rsidRDefault="003D2679" w:rsidP="003D2679">
      <w:pPr>
        <w:pStyle w:val="Normal1"/>
        <w:rPr>
          <w:sz w:val="24"/>
          <w:szCs w:val="24"/>
          <w:lang w:val="en-US"/>
        </w:rPr>
      </w:pPr>
    </w:p>
    <w:p w:rsidR="003D2679" w:rsidRPr="003D2679" w:rsidRDefault="003D2679" w:rsidP="003D2679">
      <w:pPr>
        <w:pStyle w:val="Normal1"/>
        <w:rPr>
          <w:b/>
          <w:sz w:val="24"/>
          <w:szCs w:val="24"/>
          <w:lang w:val="en-US"/>
        </w:rPr>
      </w:pPr>
      <w:r w:rsidRPr="003D2679">
        <w:rPr>
          <w:b/>
          <w:sz w:val="24"/>
          <w:szCs w:val="24"/>
          <w:lang w:val="en-US"/>
        </w:rPr>
        <w:t>Proportion numbers</w:t>
      </w:r>
    </w:p>
    <w:p w:rsidR="003D2679" w:rsidRPr="003D2679" w:rsidRDefault="003D2679" w:rsidP="003D2679">
      <w:pPr>
        <w:pStyle w:val="Normal1"/>
        <w:rPr>
          <w:sz w:val="24"/>
          <w:szCs w:val="24"/>
          <w:lang w:val="en-US"/>
        </w:rPr>
      </w:pPr>
      <w:r w:rsidRPr="003D2679">
        <w:rPr>
          <w:sz w:val="24"/>
          <w:szCs w:val="24"/>
          <w:lang w:val="en-US"/>
        </w:rPr>
        <w:t>They give the portion of a partial value to a total value as a fraction (3/8, 0,375) as a percentage (%) or per mill (</w:t>
      </w:r>
      <w:r w:rsidRPr="003D2679">
        <w:rPr>
          <w:b/>
          <w:sz w:val="24"/>
          <w:szCs w:val="24"/>
          <w:lang w:val="en-US"/>
        </w:rPr>
        <w:t>‰</w:t>
      </w:r>
      <w:r w:rsidRPr="003D2679">
        <w:rPr>
          <w:sz w:val="24"/>
          <w:szCs w:val="24"/>
          <w:lang w:val="en-US"/>
        </w:rPr>
        <w:t xml:space="preserve">). The percentage is calculated by (partial value x 100) / total value. </w:t>
      </w:r>
      <w:proofErr w:type="gramStart"/>
      <w:r w:rsidRPr="003D2679">
        <w:rPr>
          <w:sz w:val="24"/>
          <w:szCs w:val="24"/>
          <w:lang w:val="en-US"/>
        </w:rPr>
        <w:t>(For per mill calculation x 1000).</w:t>
      </w:r>
      <w:proofErr w:type="gramEnd"/>
      <w:r w:rsidRPr="003D2679">
        <w:rPr>
          <w:sz w:val="24"/>
          <w:szCs w:val="24"/>
          <w:lang w:val="en-US"/>
        </w:rPr>
        <w:t xml:space="preserve"> Proportion numbers are the basis for pie charts, bar charts, band charts and triangle diagrams because they allow for an interior comparison, i.e. how the total value is composed of.</w:t>
      </w:r>
    </w:p>
    <w:p w:rsidR="003D2679" w:rsidRPr="003D2679" w:rsidRDefault="003D2679" w:rsidP="003D2679">
      <w:pPr>
        <w:pStyle w:val="Normal1"/>
        <w:rPr>
          <w:sz w:val="24"/>
          <w:szCs w:val="24"/>
          <w:lang w:val="en-US"/>
        </w:rPr>
      </w:pPr>
    </w:p>
    <w:p w:rsidR="003D2679" w:rsidRPr="003D2679" w:rsidRDefault="003D2679" w:rsidP="003D2679">
      <w:pPr>
        <w:pStyle w:val="Normal1"/>
        <w:rPr>
          <w:b/>
          <w:sz w:val="24"/>
          <w:szCs w:val="24"/>
          <w:lang w:val="en-US"/>
        </w:rPr>
      </w:pPr>
      <w:r w:rsidRPr="003D2679">
        <w:rPr>
          <w:b/>
          <w:sz w:val="24"/>
          <w:szCs w:val="24"/>
          <w:lang w:val="en-US"/>
        </w:rPr>
        <w:t>Measurement numbers</w:t>
      </w:r>
    </w:p>
    <w:p w:rsidR="003D2679" w:rsidRPr="003D2679" w:rsidRDefault="003D2679" w:rsidP="003D2679">
      <w:pPr>
        <w:pStyle w:val="Normal1"/>
        <w:rPr>
          <w:sz w:val="24"/>
          <w:szCs w:val="24"/>
          <w:lang w:val="en-US"/>
        </w:rPr>
      </w:pPr>
      <w:r w:rsidRPr="003D2679">
        <w:rPr>
          <w:sz w:val="24"/>
          <w:szCs w:val="24"/>
          <w:lang w:val="en-US"/>
        </w:rPr>
        <w:t>Measurement numbers, not to be confused with measures, are ratio numbers that indicate the ratio between similar values, such as in respect to an average value (e.g. pH value of the soil).</w:t>
      </w:r>
    </w:p>
    <w:p w:rsidR="003D2679" w:rsidRPr="003D2679" w:rsidRDefault="003D2679" w:rsidP="003D2679">
      <w:pPr>
        <w:pStyle w:val="Normal1"/>
        <w:rPr>
          <w:sz w:val="24"/>
          <w:szCs w:val="24"/>
          <w:lang w:val="en-US"/>
        </w:rPr>
      </w:pPr>
    </w:p>
    <w:p w:rsidR="003D2679" w:rsidRPr="003D2679" w:rsidRDefault="003D2679" w:rsidP="003D2679">
      <w:pPr>
        <w:pStyle w:val="Normal1"/>
        <w:rPr>
          <w:b/>
          <w:sz w:val="24"/>
          <w:szCs w:val="24"/>
          <w:lang w:val="en-US"/>
        </w:rPr>
      </w:pPr>
      <w:r w:rsidRPr="003D2679">
        <w:rPr>
          <w:b/>
          <w:sz w:val="24"/>
          <w:szCs w:val="24"/>
          <w:lang w:val="en-US"/>
        </w:rPr>
        <w:t>Index numbers</w:t>
      </w:r>
    </w:p>
    <w:p w:rsidR="003D2679" w:rsidRPr="003D2679" w:rsidRDefault="003D2679" w:rsidP="003D2679">
      <w:pPr>
        <w:pStyle w:val="Normal1"/>
        <w:rPr>
          <w:sz w:val="24"/>
          <w:szCs w:val="24"/>
          <w:lang w:val="en-US"/>
        </w:rPr>
      </w:pPr>
      <w:r w:rsidRPr="003D2679">
        <w:rPr>
          <w:sz w:val="24"/>
          <w:szCs w:val="24"/>
          <w:lang w:val="en-US"/>
        </w:rPr>
        <w:t xml:space="preserve">A special case of measurement numbers is the index numbers, which indicate relative differences of time values. In this case the base of 100 is defined by a suitable point in time, average or target value. </w:t>
      </w:r>
      <w:proofErr w:type="gramStart"/>
      <w:r w:rsidRPr="003D2679">
        <w:rPr>
          <w:sz w:val="24"/>
          <w:szCs w:val="24"/>
          <w:lang w:val="en-US"/>
        </w:rPr>
        <w:t>This way it can be determined if all other values were increased or decreased in respect to 100.</w:t>
      </w:r>
      <w:proofErr w:type="gramEnd"/>
      <w:r w:rsidRPr="003D2679">
        <w:rPr>
          <w:sz w:val="24"/>
          <w:szCs w:val="24"/>
          <w:lang w:val="en-US"/>
        </w:rPr>
        <w:t xml:space="preserve"> For example, the development of money for which a value = 100% is set for a base date. Other examples are inflation and the development of stock values.</w:t>
      </w:r>
    </w:p>
    <w:p w:rsidR="003D2679" w:rsidRPr="003D2679" w:rsidRDefault="003D2679" w:rsidP="003D2679">
      <w:pPr>
        <w:pStyle w:val="Normal1"/>
        <w:rPr>
          <w:sz w:val="24"/>
          <w:szCs w:val="24"/>
          <w:lang w:val="en-US"/>
        </w:rPr>
      </w:pPr>
    </w:p>
    <w:p w:rsidR="003D2679" w:rsidRPr="003D2679" w:rsidRDefault="003D2679" w:rsidP="003D2679">
      <w:pPr>
        <w:pStyle w:val="Normal1"/>
        <w:rPr>
          <w:b/>
          <w:sz w:val="24"/>
          <w:szCs w:val="24"/>
          <w:lang w:val="en-US"/>
        </w:rPr>
      </w:pPr>
      <w:r w:rsidRPr="003D2679">
        <w:rPr>
          <w:b/>
          <w:sz w:val="24"/>
          <w:szCs w:val="24"/>
          <w:lang w:val="en-US"/>
        </w:rPr>
        <w:t>Relation numbers</w:t>
      </w:r>
    </w:p>
    <w:p w:rsidR="003D2679" w:rsidRPr="003D2679" w:rsidRDefault="003D2679" w:rsidP="003D2679">
      <w:pPr>
        <w:rPr>
          <w:rFonts w:ascii="Arial" w:hAnsi="Arial" w:cs="Arial"/>
        </w:rPr>
      </w:pPr>
      <w:r w:rsidRPr="003D2679">
        <w:rPr>
          <w:rFonts w:ascii="Arial" w:hAnsi="Arial" w:cs="Arial"/>
          <w:lang w:val="en-US"/>
        </w:rPr>
        <w:t xml:space="preserve">Relation numbers indicate heterogeneous values that relate to each other. </w:t>
      </w:r>
      <w:proofErr w:type="gramStart"/>
      <w:r w:rsidRPr="003D2679">
        <w:rPr>
          <w:rFonts w:ascii="Arial" w:hAnsi="Arial" w:cs="Arial"/>
          <w:lang w:val="en-US"/>
        </w:rPr>
        <w:t>For example, the per capita income.</w:t>
      </w:r>
      <w:proofErr w:type="gramEnd"/>
      <w:r w:rsidRPr="003D2679">
        <w:rPr>
          <w:rFonts w:ascii="Arial" w:hAnsi="Arial" w:cs="Arial"/>
          <w:lang w:val="en-US"/>
        </w:rPr>
        <w:t xml:space="preserve"> Are these values related to areal values (e.g. inhabitants per km²), they are named density numbers. This means that an average value for the area is given.</w:t>
      </w:r>
    </w:p>
    <w:p w:rsidR="00934114" w:rsidRDefault="00934114" w:rsidP="00934114">
      <w:pPr>
        <w:pStyle w:val="TKFliesstext"/>
        <w:rPr>
          <w:rFonts w:ascii="Arial" w:hAnsi="Arial" w:cs="Arial"/>
        </w:rPr>
      </w:pPr>
    </w:p>
    <w:p w:rsidR="003D2679" w:rsidRDefault="003D2679" w:rsidP="00934114">
      <w:pPr>
        <w:pStyle w:val="TKFliesstext"/>
        <w:rPr>
          <w:rFonts w:ascii="Arial" w:hAnsi="Arial" w:cs="Arial"/>
        </w:rPr>
      </w:pPr>
    </w:p>
    <w:p w:rsidR="003D2679" w:rsidRDefault="003D2679" w:rsidP="00934114">
      <w:pPr>
        <w:pStyle w:val="TKFliesstext"/>
        <w:rPr>
          <w:rFonts w:ascii="Arial" w:hAnsi="Arial" w:cs="Arial"/>
        </w:rPr>
      </w:pPr>
    </w:p>
    <w:p w:rsidR="003D2679" w:rsidRDefault="003D2679" w:rsidP="00934114">
      <w:pPr>
        <w:pStyle w:val="TKFliesstext"/>
        <w:rPr>
          <w:rFonts w:ascii="Arial" w:hAnsi="Arial" w:cs="Arial"/>
        </w:rPr>
      </w:pPr>
    </w:p>
    <w:p w:rsidR="003D2679" w:rsidRDefault="003D2679" w:rsidP="00934114">
      <w:pPr>
        <w:pStyle w:val="TKFliesstext"/>
        <w:rPr>
          <w:rFonts w:ascii="Arial" w:hAnsi="Arial" w:cs="Arial"/>
        </w:rPr>
      </w:pPr>
    </w:p>
    <w:p w:rsidR="003D2679" w:rsidRDefault="003D2679" w:rsidP="00934114">
      <w:pPr>
        <w:pStyle w:val="TKFliesstext"/>
        <w:rPr>
          <w:rFonts w:ascii="Arial" w:hAnsi="Arial" w:cs="Arial"/>
        </w:rPr>
      </w:pPr>
    </w:p>
    <w:p w:rsidR="003D2679" w:rsidRDefault="003D2679" w:rsidP="00934114">
      <w:pPr>
        <w:pStyle w:val="TKFliesstext"/>
        <w:rPr>
          <w:rFonts w:ascii="Arial" w:hAnsi="Arial" w:cs="Arial"/>
        </w:rPr>
      </w:pPr>
    </w:p>
    <w:p w:rsidR="003D2679" w:rsidRPr="00B60C33" w:rsidRDefault="003D2679" w:rsidP="00934114">
      <w:pPr>
        <w:pStyle w:val="TKFliesstext"/>
        <w:rPr>
          <w:rFonts w:ascii="Arial" w:hAnsi="Arial" w:cs="Arial"/>
          <w:b/>
        </w:rPr>
      </w:pPr>
    </w:p>
    <w:p w:rsidR="00934114" w:rsidRPr="003D2679" w:rsidRDefault="00934114" w:rsidP="00934114">
      <w:pPr>
        <w:pStyle w:val="TKFliesstext"/>
        <w:rPr>
          <w:rFonts w:ascii="Arial" w:hAnsi="Arial" w:cs="Arial"/>
          <w:b/>
          <w:sz w:val="24"/>
          <w:szCs w:val="24"/>
        </w:rPr>
      </w:pPr>
      <w:r w:rsidRPr="003D2679">
        <w:rPr>
          <w:rFonts w:ascii="Arial" w:hAnsi="Arial" w:cs="Arial"/>
          <w:b/>
          <w:sz w:val="24"/>
          <w:szCs w:val="24"/>
        </w:rPr>
        <w:t>Literatur</w:t>
      </w:r>
    </w:p>
    <w:p w:rsidR="00934114" w:rsidRPr="003D2679" w:rsidRDefault="00934114" w:rsidP="00934114">
      <w:pPr>
        <w:pStyle w:val="TKFliesstext"/>
        <w:rPr>
          <w:rFonts w:ascii="Arial" w:hAnsi="Arial" w:cs="Arial"/>
          <w:sz w:val="24"/>
          <w:szCs w:val="24"/>
        </w:rPr>
      </w:pPr>
      <w:r w:rsidRPr="003D2679">
        <w:rPr>
          <w:rFonts w:ascii="Arial" w:hAnsi="Arial" w:cs="Arial"/>
          <w:sz w:val="24"/>
          <w:szCs w:val="24"/>
        </w:rPr>
        <w:t>[Schröder 1985]</w:t>
      </w:r>
    </w:p>
    <w:p w:rsidR="00934114" w:rsidRPr="003D2679" w:rsidRDefault="00934114" w:rsidP="00934114">
      <w:pPr>
        <w:pStyle w:val="TKFliesstext"/>
        <w:rPr>
          <w:rFonts w:ascii="Arial" w:hAnsi="Arial" w:cs="Arial"/>
          <w:sz w:val="24"/>
          <w:szCs w:val="24"/>
        </w:rPr>
      </w:pPr>
      <w:r w:rsidRPr="003D2679">
        <w:rPr>
          <w:rFonts w:ascii="Arial" w:hAnsi="Arial" w:cs="Arial"/>
          <w:sz w:val="24"/>
          <w:szCs w:val="24"/>
        </w:rPr>
        <w:t xml:space="preserve">Schröder, P.: Diagrammdarstellung in Stichworten. </w:t>
      </w:r>
      <w:proofErr w:type="spellStart"/>
      <w:r w:rsidRPr="003D2679">
        <w:rPr>
          <w:rFonts w:ascii="Arial" w:hAnsi="Arial" w:cs="Arial"/>
          <w:sz w:val="24"/>
          <w:szCs w:val="24"/>
        </w:rPr>
        <w:t>Hirt’s</w:t>
      </w:r>
      <w:proofErr w:type="spellEnd"/>
      <w:r w:rsidRPr="003D2679">
        <w:rPr>
          <w:rFonts w:ascii="Arial" w:hAnsi="Arial" w:cs="Arial"/>
          <w:sz w:val="24"/>
          <w:szCs w:val="24"/>
        </w:rPr>
        <w:t xml:space="preserve"> Stichwortbücher, Verlag Ferdinand Hirt, 1985.</w:t>
      </w:r>
    </w:p>
    <w:sectPr w:rsidR="00934114" w:rsidRPr="003D267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ETH Light">
    <w:altName w:val="Heavy Heap"/>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615132"/>
    <w:multiLevelType w:val="hybridMultilevel"/>
    <w:tmpl w:val="40B843E2"/>
    <w:lvl w:ilvl="0" w:tplc="40901E58">
      <w:start w:val="1"/>
      <w:numFmt w:val="bullet"/>
      <w:lvlText w:val=""/>
      <w:lvlJc w:val="left"/>
      <w:pPr>
        <w:tabs>
          <w:tab w:val="num" w:pos="720"/>
        </w:tabs>
        <w:ind w:left="720" w:hanging="360"/>
      </w:pPr>
      <w:rPr>
        <w:rFonts w:ascii="Wingdings" w:hAnsi="Wingdings"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114"/>
    <w:rsid w:val="003D2679"/>
    <w:rsid w:val="00934114"/>
    <w:rsid w:val="00B60C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de-CH" w:eastAsia="de-CH"/>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KFliesstext">
    <w:name w:val="TK Fliesstext"/>
    <w:basedOn w:val="Standard"/>
    <w:rsid w:val="00934114"/>
    <w:pPr>
      <w:spacing w:line="320" w:lineRule="exact"/>
      <w:jc w:val="both"/>
    </w:pPr>
    <w:rPr>
      <w:rFonts w:ascii="ETH Light" w:hAnsi="ETH Light"/>
      <w:bCs/>
      <w:iCs/>
      <w:sz w:val="22"/>
      <w:szCs w:val="22"/>
    </w:rPr>
  </w:style>
  <w:style w:type="paragraph" w:customStyle="1" w:styleId="Normal1">
    <w:name w:val="Normal1"/>
    <w:rsid w:val="003D2679"/>
    <w:pPr>
      <w:spacing w:line="276" w:lineRule="auto"/>
    </w:pPr>
    <w:rPr>
      <w:rFonts w:ascii="Arial" w:eastAsia="Arial" w:hAnsi="Arial" w:cs="Arial"/>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de-CH" w:eastAsia="de-CH"/>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KFliesstext">
    <w:name w:val="TK Fliesstext"/>
    <w:basedOn w:val="Standard"/>
    <w:rsid w:val="00934114"/>
    <w:pPr>
      <w:spacing w:line="320" w:lineRule="exact"/>
      <w:jc w:val="both"/>
    </w:pPr>
    <w:rPr>
      <w:rFonts w:ascii="ETH Light" w:hAnsi="ETH Light"/>
      <w:bCs/>
      <w:iCs/>
      <w:sz w:val="22"/>
      <w:szCs w:val="22"/>
    </w:rPr>
  </w:style>
  <w:style w:type="paragraph" w:customStyle="1" w:styleId="Normal1">
    <w:name w:val="Normal1"/>
    <w:rsid w:val="003D2679"/>
    <w:pPr>
      <w:spacing w:line="276" w:lineRule="auto"/>
    </w:pPr>
    <w:rPr>
      <w:rFonts w:ascii="Arial" w:eastAsia="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224</Words>
  <Characters>1417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Verhältniszahlen</vt:lpstr>
    </vt:vector>
  </TitlesOfParts>
  <Company>Institut für Kartographie</Company>
  <LinksUpToDate>false</LinksUpToDate>
  <CharactersWithSpaces>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Verhältniszahlen</dc:title>
  <dc:creator>sandrad</dc:creator>
  <cp:lastModifiedBy>hflitter</cp:lastModifiedBy>
  <cp:revision>3</cp:revision>
  <dcterms:created xsi:type="dcterms:W3CDTF">2017-03-10T12:31:00Z</dcterms:created>
  <dcterms:modified xsi:type="dcterms:W3CDTF">2017-03-10T12:35:00Z</dcterms:modified>
</cp:coreProperties>
</file>